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B7223" w14:textId="10B37254" w:rsidR="000728E3" w:rsidRDefault="000728E3" w:rsidP="00D52184">
      <w:pPr>
        <w:jc w:val="center"/>
        <w:rPr>
          <w:rStyle w:val="Strong"/>
          <w:sz w:val="28"/>
          <w:lang w:val="ka-GE"/>
        </w:rPr>
      </w:pPr>
      <w:r w:rsidRPr="00D52184">
        <w:rPr>
          <w:rStyle w:val="Strong"/>
          <w:sz w:val="28"/>
        </w:rPr>
        <w:t>Covid-19 ტესტ</w:t>
      </w:r>
      <w:r w:rsidR="00D52184" w:rsidRPr="00D52184">
        <w:rPr>
          <w:rStyle w:val="Strong"/>
          <w:sz w:val="28"/>
          <w:lang w:val="ka-GE"/>
        </w:rPr>
        <w:t>ირების გამოცდილება</w:t>
      </w:r>
    </w:p>
    <w:p w14:paraId="44FFB65E" w14:textId="5A1ADA29" w:rsidR="00787FBB" w:rsidRDefault="001C16AB" w:rsidP="00787FBB">
      <w:pPr>
        <w:pStyle w:val="NoSpacing"/>
        <w:jc w:val="both"/>
        <w:rPr>
          <w:lang w:val="ka-GE"/>
        </w:rPr>
      </w:pPr>
      <w:r>
        <w:rPr>
          <w:lang w:val="en-US"/>
        </w:rPr>
        <w:t>COVID-19</w:t>
      </w:r>
      <w:r>
        <w:rPr>
          <w:lang w:val="ka-GE"/>
        </w:rPr>
        <w:t xml:space="preserve"> ეპიდემიის ბრძოლის ერთ-ერთი მნიშვნელოვანი ნაწილია დიაგნოსტირება, მისი სიზუსტე, სწრაფი განხორციელება</w:t>
      </w:r>
      <w:r w:rsidR="000F68E9">
        <w:rPr>
          <w:lang w:val="ka-GE"/>
        </w:rPr>
        <w:t>, გეოგრაფიული და ფინანსური ხელმისაწვდომობა</w:t>
      </w:r>
      <w:r>
        <w:rPr>
          <w:lang w:val="ka-GE"/>
        </w:rPr>
        <w:t xml:space="preserve"> და მოსახლეობის მოცვა.  მიუხედავად იმისა, რომ</w:t>
      </w:r>
      <w:r w:rsidR="00787FBB" w:rsidRPr="00787FBB">
        <w:rPr>
          <w:lang w:val="ka-GE"/>
        </w:rPr>
        <w:t xml:space="preserve"> </w:t>
      </w:r>
      <w:r w:rsidR="000F68E9">
        <w:rPr>
          <w:lang w:val="ka-GE"/>
        </w:rPr>
        <w:t>დღეისათვის</w:t>
      </w:r>
      <w:r w:rsidR="00787FBB" w:rsidRPr="00787FBB">
        <w:rPr>
          <w:lang w:val="ka-GE"/>
        </w:rPr>
        <w:t xml:space="preserve"> არ არსებობს ოფიციალური ცენტრალიზიებული მონაცემთა ბაზა, </w:t>
      </w:r>
      <w:r>
        <w:rPr>
          <w:lang w:val="ka-GE"/>
        </w:rPr>
        <w:t>ცალკეული ქვეყნები საჯაროდ დებენ ინფორმაცი</w:t>
      </w:r>
      <w:r w:rsidR="000F68E9">
        <w:rPr>
          <w:lang w:val="ka-GE"/>
        </w:rPr>
        <w:t>ა</w:t>
      </w:r>
      <w:r>
        <w:rPr>
          <w:lang w:val="ka-GE"/>
        </w:rPr>
        <w:t xml:space="preserve">ს </w:t>
      </w:r>
      <w:r w:rsidR="00787FBB" w:rsidRPr="00787FBB">
        <w:rPr>
          <w:lang w:val="ka-GE"/>
        </w:rPr>
        <w:t xml:space="preserve">ტესტირებული ადამიანებისა და მეთოდების შესახებ. </w:t>
      </w:r>
    </w:p>
    <w:p w14:paraId="360C1864" w14:textId="5EA1DAC1" w:rsidR="00787FBB" w:rsidRDefault="001C16AB" w:rsidP="001C16AB">
      <w:pPr>
        <w:pStyle w:val="NoSpacing"/>
        <w:jc w:val="both"/>
        <w:rPr>
          <w:lang w:val="ka-GE"/>
        </w:rPr>
      </w:pPr>
      <w:r w:rsidRPr="001C16AB">
        <w:rPr>
          <w:lang w:val="ka-GE"/>
        </w:rPr>
        <w:t>დღეის მონაცემებით,</w:t>
      </w:r>
      <w:r w:rsidR="00787FBB" w:rsidRPr="00787FBB">
        <w:rPr>
          <w:lang w:val="ka-GE"/>
        </w:rPr>
        <w:t xml:space="preserve"> </w:t>
      </w:r>
      <w:r w:rsidR="000F68E9">
        <w:rPr>
          <w:lang w:val="ka-GE"/>
        </w:rPr>
        <w:t xml:space="preserve">ტესტირებული რაოდენობით </w:t>
      </w:r>
      <w:r w:rsidR="00787FBB" w:rsidRPr="00787FBB">
        <w:rPr>
          <w:lang w:val="ka-GE"/>
        </w:rPr>
        <w:t xml:space="preserve">სამხრეთ კორეა და ისლანდიაა </w:t>
      </w:r>
      <w:r>
        <w:rPr>
          <w:lang w:val="ka-GE"/>
        </w:rPr>
        <w:t>ლიდერობენ</w:t>
      </w:r>
      <w:r w:rsidR="000F68E9">
        <w:rPr>
          <w:lang w:val="ka-GE"/>
        </w:rPr>
        <w:t xml:space="preserve">, გადათვლილი </w:t>
      </w:r>
      <w:r>
        <w:rPr>
          <w:lang w:val="ka-GE"/>
        </w:rPr>
        <w:t>მოსახლეობის მაჩვენებ</w:t>
      </w:r>
      <w:r w:rsidR="000F68E9">
        <w:rPr>
          <w:lang w:val="ka-GE"/>
        </w:rPr>
        <w:t>ელზე</w:t>
      </w:r>
      <w:r>
        <w:rPr>
          <w:lang w:val="ka-GE"/>
        </w:rPr>
        <w:t xml:space="preserve">. </w:t>
      </w:r>
    </w:p>
    <w:p w14:paraId="043E9246" w14:textId="791D8315" w:rsidR="001C16AB" w:rsidRDefault="001C16AB" w:rsidP="001C16AB">
      <w:pPr>
        <w:pStyle w:val="NoSpacing"/>
        <w:jc w:val="both"/>
        <w:rPr>
          <w:lang w:val="ka-GE"/>
        </w:rPr>
      </w:pPr>
      <w:r>
        <w:rPr>
          <w:lang w:val="ka-GE"/>
        </w:rPr>
        <w:t>არსებული მეთოდებიდან (პჯრ, სწრაფი - ანტიგენზე დაფუძნებული ან ანტისხეულზე დაფუძნებული) ერთპიროვნული ლიდერი მსოფლიო მოხმარების მხრივ არის პჯრ ტესტები</w:t>
      </w:r>
      <w:r w:rsidR="000F68E9">
        <w:rPr>
          <w:lang w:val="ka-GE"/>
        </w:rPr>
        <w:t>,</w:t>
      </w:r>
      <w:r>
        <w:rPr>
          <w:lang w:val="ka-GE"/>
        </w:rPr>
        <w:t xml:space="preserve"> თავისი სანდოობიდან და სიზუსტიდან გამომდინარე. თუმცა</w:t>
      </w:r>
      <w:r w:rsidR="000F68E9">
        <w:rPr>
          <w:lang w:val="ka-GE"/>
        </w:rPr>
        <w:t>,</w:t>
      </w:r>
      <w:r>
        <w:rPr>
          <w:lang w:val="ka-GE"/>
        </w:rPr>
        <w:t xml:space="preserve"> ყოველდღიურად იზრდება იმ ქვეყნების რიცხვი, რომლებიც ამ უტყუარ მეთოდთან ერთად დამატებით იყენებენ სწრაფ საშუალებებს, შესაბამისი მიზნით. მოკლე ანალიზის სახით, შეჯერებული ინფორმაციაა:</w:t>
      </w:r>
    </w:p>
    <w:p w14:paraId="5DE806E0" w14:textId="6474C99E" w:rsidR="001C16AB" w:rsidRDefault="001C16AB" w:rsidP="001C16AB">
      <w:pPr>
        <w:pStyle w:val="NoSpacing"/>
        <w:jc w:val="both"/>
        <w:rPr>
          <w:lang w:val="ka-GE"/>
        </w:rPr>
      </w:pPr>
      <w:r w:rsidRPr="000F68E9">
        <w:rPr>
          <w:u w:val="single"/>
          <w:lang w:val="ka-GE"/>
        </w:rPr>
        <w:t>სამხრე</w:t>
      </w:r>
      <w:r w:rsidR="0026403C" w:rsidRPr="000F68E9">
        <w:rPr>
          <w:u w:val="single"/>
          <w:lang w:val="ka-GE"/>
        </w:rPr>
        <w:t>თ</w:t>
      </w:r>
      <w:r w:rsidRPr="000F68E9">
        <w:rPr>
          <w:u w:val="single"/>
          <w:lang w:val="ka-GE"/>
        </w:rPr>
        <w:t xml:space="preserve"> კორეა</w:t>
      </w:r>
      <w:r>
        <w:rPr>
          <w:lang w:val="ka-GE"/>
        </w:rPr>
        <w:t xml:space="preserve"> იყენებს </w:t>
      </w:r>
      <w:r w:rsidRPr="000F68E9">
        <w:rPr>
          <w:b/>
          <w:lang w:val="ka-GE"/>
        </w:rPr>
        <w:t>სამივე სახის ტესტს,</w:t>
      </w:r>
      <w:r>
        <w:rPr>
          <w:lang w:val="ka-GE"/>
        </w:rPr>
        <w:t xml:space="preserve"> რომელიც ადგილობრივად იწარმოება და არის ამ ეტაპზე ლიდერი რეალურად ტესტირება ჩატარებული მოსახლეობის </w:t>
      </w:r>
      <w:r w:rsidR="0026403C">
        <w:rPr>
          <w:lang w:val="ka-GE"/>
        </w:rPr>
        <w:t>მაჩვენებლის სიდიდით</w:t>
      </w:r>
      <w:r>
        <w:rPr>
          <w:lang w:val="ka-GE"/>
        </w:rPr>
        <w:t>. 80% უკავია პჯრ ტესტ</w:t>
      </w:r>
      <w:r w:rsidR="0026403C">
        <w:rPr>
          <w:lang w:val="ka-GE"/>
        </w:rPr>
        <w:t xml:space="preserve">ს, ხოლო მათ ე.წ. 50 </w:t>
      </w:r>
      <w:r w:rsidR="0026403C">
        <w:rPr>
          <w:lang w:val="en-US"/>
        </w:rPr>
        <w:t>drive</w:t>
      </w:r>
      <w:r w:rsidR="0026403C">
        <w:rPr>
          <w:lang w:val="ka-GE"/>
        </w:rPr>
        <w:t>-</w:t>
      </w:r>
      <w:r w:rsidR="0026403C">
        <w:rPr>
          <w:lang w:val="en-US"/>
        </w:rPr>
        <w:t>through</w:t>
      </w:r>
      <w:r w:rsidR="0026403C">
        <w:rPr>
          <w:lang w:val="ka-GE"/>
        </w:rPr>
        <w:t xml:space="preserve"> ტესტ-სადგურზე ხორციელდება სწრაფი ტესტება. ამ ბოლო შემთხვევაში მომსახურება ფასიანია.</w:t>
      </w:r>
    </w:p>
    <w:p w14:paraId="0B54BB17" w14:textId="6AD9431D" w:rsidR="0069390E" w:rsidRDefault="0069390E" w:rsidP="001C16AB">
      <w:pPr>
        <w:pStyle w:val="NoSpacing"/>
        <w:jc w:val="both"/>
        <w:rPr>
          <w:lang w:val="ka-GE"/>
        </w:rPr>
      </w:pPr>
      <w:r w:rsidRPr="0069390E">
        <w:rPr>
          <w:u w:val="single"/>
          <w:lang w:val="ka-GE"/>
        </w:rPr>
        <w:t>ისლანდია</w:t>
      </w:r>
      <w:r>
        <w:rPr>
          <w:lang w:val="ka-GE"/>
        </w:rPr>
        <w:t xml:space="preserve"> დეფინიციის პირობებს თუ აკმაყოფილებს, ასეთ პაციენტს უკეთებს </w:t>
      </w:r>
      <w:r w:rsidRPr="0069390E">
        <w:rPr>
          <w:b/>
          <w:lang w:val="ka-GE"/>
        </w:rPr>
        <w:t>პჯრ</w:t>
      </w:r>
      <w:r>
        <w:rPr>
          <w:lang w:val="ka-GE"/>
        </w:rPr>
        <w:t xml:space="preserve"> ტესტს ჰოსპიტალში, დანარჩენ ნებისმიერ მსურველს </w:t>
      </w:r>
      <w:bookmarkStart w:id="0" w:name="_GoBack"/>
      <w:r w:rsidRPr="0069390E">
        <w:rPr>
          <w:b/>
          <w:lang w:val="ka-GE"/>
        </w:rPr>
        <w:t xml:space="preserve">ანტისხეულებზე </w:t>
      </w:r>
      <w:bookmarkEnd w:id="0"/>
      <w:r>
        <w:rPr>
          <w:lang w:val="ka-GE"/>
        </w:rPr>
        <w:t>დაფუძნებული ტესტის მწარმოებელი ადგილობრივი კომპანიის ოფისში - უფასოდ.</w:t>
      </w:r>
    </w:p>
    <w:p w14:paraId="433651D3" w14:textId="2B6A0B7E" w:rsidR="0026403C" w:rsidRDefault="0026403C" w:rsidP="001C16AB">
      <w:pPr>
        <w:pStyle w:val="NoSpacing"/>
        <w:jc w:val="both"/>
        <w:rPr>
          <w:lang w:val="ka-GE"/>
        </w:rPr>
      </w:pPr>
      <w:r w:rsidRPr="000F68E9">
        <w:rPr>
          <w:u w:val="single"/>
          <w:lang w:val="ka-GE"/>
        </w:rPr>
        <w:t>გერმანია</w:t>
      </w:r>
      <w:r>
        <w:rPr>
          <w:lang w:val="ka-GE"/>
        </w:rPr>
        <w:t xml:space="preserve"> ამ ეტაპზე ლიდერობს აბსოლუტურ ციფრებში ტესტირება ჩატარებული მოსახლეობით (918 460 ადამიანი, 7.04.2020). წამყვანი მეთოდია </w:t>
      </w:r>
      <w:r w:rsidRPr="000F68E9">
        <w:rPr>
          <w:b/>
          <w:lang w:val="ka-GE"/>
        </w:rPr>
        <w:t>პჯრ</w:t>
      </w:r>
      <w:r>
        <w:rPr>
          <w:lang w:val="ka-GE"/>
        </w:rPr>
        <w:t xml:space="preserve">. ბოლო პერიოდია დაიმატეს </w:t>
      </w:r>
      <w:r w:rsidRPr="000F68E9">
        <w:rPr>
          <w:b/>
          <w:lang w:val="ka-GE"/>
        </w:rPr>
        <w:t>ანტიგენზე</w:t>
      </w:r>
      <w:r>
        <w:rPr>
          <w:lang w:val="ka-GE"/>
        </w:rPr>
        <w:t xml:space="preserve"> დაფუძნებულ ტესტს </w:t>
      </w:r>
      <w:r w:rsidR="000F68E9">
        <w:rPr>
          <w:lang w:val="ka-GE"/>
        </w:rPr>
        <w:t>მათთვის, ვისაც</w:t>
      </w:r>
      <w:r>
        <w:rPr>
          <w:lang w:val="ka-GE"/>
        </w:rPr>
        <w:t xml:space="preserve"> აღენიშნება მსუბუქი სიმპტომები</w:t>
      </w:r>
      <w:r w:rsidR="000F68E9">
        <w:rPr>
          <w:lang w:val="ka-GE"/>
        </w:rPr>
        <w:t xml:space="preserve"> და</w:t>
      </w:r>
      <w:r>
        <w:rPr>
          <w:lang w:val="ka-GE"/>
        </w:rPr>
        <w:t xml:space="preserve"> მიმართავენ ექიმს</w:t>
      </w:r>
      <w:r>
        <w:rPr>
          <w:lang w:val="ka-GE"/>
        </w:rPr>
        <w:t xml:space="preserve">. ამ ეტაპზე აკრედიტირებულია </w:t>
      </w:r>
      <w:r w:rsidRPr="000F68E9">
        <w:rPr>
          <w:i/>
          <w:lang w:val="ka-GE"/>
        </w:rPr>
        <w:t>143 ლაბორატორია</w:t>
      </w:r>
      <w:r>
        <w:rPr>
          <w:lang w:val="ka-GE"/>
        </w:rPr>
        <w:t xml:space="preserve"> მთელი ქვეყნის მასშტაბით, სადაც ხორციელდება </w:t>
      </w:r>
      <w:r w:rsidR="000F68E9">
        <w:rPr>
          <w:lang w:val="en-US"/>
        </w:rPr>
        <w:t>COVID</w:t>
      </w:r>
      <w:r>
        <w:rPr>
          <w:lang w:val="en-US"/>
        </w:rPr>
        <w:t xml:space="preserve">-19 </w:t>
      </w:r>
      <w:r>
        <w:rPr>
          <w:lang w:val="ka-GE"/>
        </w:rPr>
        <w:t xml:space="preserve">დიაგნოსტიკა. ქვეყნის მაქსიმალური პოტენციალია </w:t>
      </w:r>
      <w:r w:rsidRPr="000F68E9">
        <w:rPr>
          <w:i/>
          <w:lang w:val="ka-GE"/>
        </w:rPr>
        <w:t>500 000 ტესტი კვირაში</w:t>
      </w:r>
      <w:r>
        <w:rPr>
          <w:lang w:val="ka-GE"/>
        </w:rPr>
        <w:t>. შერჩევი</w:t>
      </w:r>
      <w:r w:rsidR="000F68E9">
        <w:rPr>
          <w:lang w:val="ka-GE"/>
        </w:rPr>
        <w:t>თ</w:t>
      </w:r>
      <w:r>
        <w:rPr>
          <w:lang w:val="ka-GE"/>
        </w:rPr>
        <w:t xml:space="preserve">ად დაიწყეს </w:t>
      </w:r>
      <w:r w:rsidRPr="000F68E9">
        <w:rPr>
          <w:b/>
          <w:lang w:val="ka-GE"/>
        </w:rPr>
        <w:t>ანტისხეულების ტესტის</w:t>
      </w:r>
      <w:r>
        <w:rPr>
          <w:lang w:val="ka-GE"/>
        </w:rPr>
        <w:t xml:space="preserve"> ხმარებაც, რათა გამოავლინოს </w:t>
      </w:r>
      <w:r w:rsidRPr="0026403C">
        <w:rPr>
          <w:lang w:val="ka-GE"/>
        </w:rPr>
        <w:t>უსიმპტომოდ ან შეუმჩნეველი კლინიკური ნიშნებით მიმდინარე კორონა ვირუსის დაავადება გადატანილი მოქალაქეები</w:t>
      </w:r>
      <w:r>
        <w:rPr>
          <w:lang w:val="ka-GE"/>
        </w:rPr>
        <w:t xml:space="preserve"> და ეპიდემიის დასრულების შემდეგ ქონდე</w:t>
      </w:r>
      <w:r w:rsidR="000F68E9">
        <w:rPr>
          <w:lang w:val="ka-GE"/>
        </w:rPr>
        <w:t>თ</w:t>
      </w:r>
      <w:r>
        <w:rPr>
          <w:lang w:val="ka-GE"/>
        </w:rPr>
        <w:t xml:space="preserve"> ე.წ. „კოლექტიური იმუნიტეტის“ და ეპიდემიოლოგიური გავრცელების შესახებ სწორი სურათი. ასევე, ეს წარმოადგენს მოსამზადებელ პროცესს, თუ გამოჯანმრთლებული პაციენტების პლაზმის მკურნალობა რეალურ დადებით შედეგებს უჩვენებს. </w:t>
      </w:r>
    </w:p>
    <w:p w14:paraId="62F993A5" w14:textId="402B1214" w:rsidR="0026403C" w:rsidRDefault="0026403C" w:rsidP="001C16AB">
      <w:pPr>
        <w:pStyle w:val="NoSpacing"/>
        <w:jc w:val="both"/>
        <w:rPr>
          <w:lang w:val="ka-GE"/>
        </w:rPr>
      </w:pPr>
      <w:r w:rsidRPr="000F68E9">
        <w:rPr>
          <w:b/>
          <w:lang w:val="ka-GE"/>
        </w:rPr>
        <w:t xml:space="preserve">პჯრ </w:t>
      </w:r>
      <w:r>
        <w:rPr>
          <w:lang w:val="ka-GE"/>
        </w:rPr>
        <w:t xml:space="preserve">არის მთავარი მეთოდი </w:t>
      </w:r>
      <w:r w:rsidRPr="000F68E9">
        <w:rPr>
          <w:u w:val="single"/>
          <w:lang w:val="ka-GE"/>
        </w:rPr>
        <w:t>იაპონიის</w:t>
      </w:r>
      <w:r>
        <w:rPr>
          <w:lang w:val="ka-GE"/>
        </w:rPr>
        <w:t xml:space="preserve"> შემთხვევა</w:t>
      </w:r>
      <w:r w:rsidR="000F68E9">
        <w:rPr>
          <w:lang w:val="ka-GE"/>
        </w:rPr>
        <w:t>შ</w:t>
      </w:r>
      <w:r>
        <w:rPr>
          <w:lang w:val="ka-GE"/>
        </w:rPr>
        <w:t xml:space="preserve">იც, სადაც ლაბორატორიულ მომსახურებაში ჩართულია როგორც </w:t>
      </w:r>
      <w:r w:rsidRPr="000F68E9">
        <w:rPr>
          <w:i/>
          <w:lang w:val="ka-GE"/>
        </w:rPr>
        <w:t>სახელმწიფო, ასევე კერძო სექტორი. ანაზღაურება ხდება სადაზღვევო პაკეტიდან</w:t>
      </w:r>
      <w:r>
        <w:rPr>
          <w:lang w:val="ka-GE"/>
        </w:rPr>
        <w:t xml:space="preserve">. </w:t>
      </w:r>
    </w:p>
    <w:p w14:paraId="1561023B" w14:textId="66C7AD1B" w:rsidR="0026403C" w:rsidRDefault="0026403C" w:rsidP="001C16AB">
      <w:pPr>
        <w:pStyle w:val="NoSpacing"/>
        <w:jc w:val="both"/>
        <w:rPr>
          <w:lang w:val="ka-GE"/>
        </w:rPr>
      </w:pPr>
      <w:r w:rsidRPr="000F68E9">
        <w:rPr>
          <w:b/>
          <w:lang w:val="ka-GE"/>
        </w:rPr>
        <w:t>პჯრ</w:t>
      </w:r>
      <w:r>
        <w:rPr>
          <w:lang w:val="ka-GE"/>
        </w:rPr>
        <w:t xml:space="preserve"> არის ამ ეტაპზე წამყვანი კეთოდი </w:t>
      </w:r>
      <w:r w:rsidRPr="000F68E9">
        <w:rPr>
          <w:u w:val="single"/>
          <w:lang w:val="ka-GE"/>
        </w:rPr>
        <w:t>სკანდინავიის ქვეყნებშიც</w:t>
      </w:r>
      <w:r>
        <w:rPr>
          <w:lang w:val="ka-GE"/>
        </w:rPr>
        <w:t xml:space="preserve">, სადაც ლიდერია </w:t>
      </w:r>
      <w:r w:rsidRPr="000F68E9">
        <w:rPr>
          <w:u w:val="single"/>
          <w:lang w:val="ka-GE"/>
        </w:rPr>
        <w:t>ნორვეგია</w:t>
      </w:r>
      <w:r w:rsidR="007A40B8">
        <w:rPr>
          <w:lang w:val="en-US"/>
        </w:rPr>
        <w:t xml:space="preserve"> </w:t>
      </w:r>
      <w:r w:rsidR="007A40B8">
        <w:rPr>
          <w:lang w:val="ka-GE"/>
        </w:rPr>
        <w:t xml:space="preserve">მის ტერიტორიაზე არსებული </w:t>
      </w:r>
      <w:r w:rsidR="007A40B8" w:rsidRPr="000F68E9">
        <w:rPr>
          <w:i/>
          <w:lang w:val="ka-GE"/>
        </w:rPr>
        <w:t>20 ლაბორატორიით</w:t>
      </w:r>
      <w:r w:rsidR="007A40B8">
        <w:rPr>
          <w:lang w:val="ka-GE"/>
        </w:rPr>
        <w:t xml:space="preserve"> (მოსახლეობა 5 368 000). ახლო მომავალში დამატებით იწყებენ </w:t>
      </w:r>
      <w:r w:rsidR="007A40B8" w:rsidRPr="000F68E9">
        <w:rPr>
          <w:b/>
          <w:lang w:val="ka-GE"/>
        </w:rPr>
        <w:t>ანტისხეულოებზე</w:t>
      </w:r>
      <w:r w:rsidR="007A40B8">
        <w:rPr>
          <w:lang w:val="ka-GE"/>
        </w:rPr>
        <w:t xml:space="preserve"> დაფუძნებული ტესტით გადატანილი შე</w:t>
      </w:r>
      <w:r w:rsidR="000F68E9">
        <w:rPr>
          <w:lang w:val="ka-GE"/>
        </w:rPr>
        <w:t>მ</w:t>
      </w:r>
      <w:r w:rsidR="007A40B8">
        <w:rPr>
          <w:lang w:val="ka-GE"/>
        </w:rPr>
        <w:t xml:space="preserve">თხვევების გამოვლენას. </w:t>
      </w:r>
    </w:p>
    <w:p w14:paraId="6440EC19" w14:textId="24A6F644" w:rsidR="007A40B8" w:rsidRDefault="007A40B8" w:rsidP="001C16AB">
      <w:pPr>
        <w:pStyle w:val="NoSpacing"/>
        <w:jc w:val="both"/>
        <w:rPr>
          <w:lang w:val="ka-GE"/>
        </w:rPr>
      </w:pPr>
      <w:r w:rsidRPr="000F68E9">
        <w:rPr>
          <w:u w:val="single"/>
          <w:lang w:val="ka-GE"/>
        </w:rPr>
        <w:t>აშშ</w:t>
      </w:r>
      <w:r>
        <w:rPr>
          <w:lang w:val="ka-GE"/>
        </w:rPr>
        <w:t xml:space="preserve"> წამყვანი მეთოდია </w:t>
      </w:r>
      <w:r w:rsidRPr="000F68E9">
        <w:rPr>
          <w:b/>
          <w:lang w:val="ka-GE"/>
        </w:rPr>
        <w:t>პჯრ</w:t>
      </w:r>
      <w:r>
        <w:rPr>
          <w:lang w:val="ka-GE"/>
        </w:rPr>
        <w:t xml:space="preserve">, და მკაცრი ბიუროკრატიული მექანიზმებისა და ჯანდაცვის სპეციალისტების არაერთგვაროვანი აზრის გამო სწრაფი ტესტების შეახებ, ბაზარზე მათი შემოტანა შეფერხებულია. ეტაპობრივად ემატება შტატები, სადაც ბოლო ორი კვირაა შესაძლებელი ხდება დამატებით </w:t>
      </w:r>
      <w:r w:rsidRPr="000F68E9">
        <w:rPr>
          <w:b/>
          <w:lang w:val="ka-GE"/>
        </w:rPr>
        <w:t>ანტისხეულებზე</w:t>
      </w:r>
      <w:r>
        <w:rPr>
          <w:lang w:val="ka-GE"/>
        </w:rPr>
        <w:t xml:space="preserve"> დაფუძნებული ტესტის გამოყენება. </w:t>
      </w:r>
    </w:p>
    <w:p w14:paraId="34426552" w14:textId="4693A276" w:rsidR="007A40B8" w:rsidRPr="000F68E9" w:rsidRDefault="007A40B8" w:rsidP="001C16AB">
      <w:pPr>
        <w:pStyle w:val="NoSpacing"/>
        <w:jc w:val="both"/>
        <w:rPr>
          <w:i/>
          <w:lang w:val="ka-GE"/>
        </w:rPr>
      </w:pPr>
      <w:r w:rsidRPr="000F68E9">
        <w:rPr>
          <w:u w:val="single"/>
          <w:lang w:val="ka-GE"/>
        </w:rPr>
        <w:t>ბალტიისპირეთის ქვეყნებში</w:t>
      </w:r>
      <w:r>
        <w:rPr>
          <w:lang w:val="ka-GE"/>
        </w:rPr>
        <w:t xml:space="preserve"> ასევე წამყვანია </w:t>
      </w:r>
      <w:r w:rsidRPr="000F68E9">
        <w:rPr>
          <w:b/>
          <w:lang w:val="ka-GE"/>
        </w:rPr>
        <w:t>პჯრ</w:t>
      </w:r>
      <w:r>
        <w:rPr>
          <w:lang w:val="ka-GE"/>
        </w:rPr>
        <w:t xml:space="preserve"> ტესტები. ინოვაციური მიდგომით გამოირჩევა </w:t>
      </w:r>
      <w:r w:rsidRPr="000F68E9">
        <w:rPr>
          <w:u w:val="single"/>
          <w:lang w:val="ka-GE"/>
        </w:rPr>
        <w:t>ესტონეთ</w:t>
      </w:r>
      <w:r>
        <w:rPr>
          <w:lang w:val="ka-GE"/>
        </w:rPr>
        <w:t xml:space="preserve">ი, რომელიც ტალინსა და 8 დიდი ქალაქში ტესტირების ახალ სქემას ნერგავს: ყველა სიმპტომიანი პაციენტი ექიმის მიმართვის საფუძველზე წინასწარ დათქმულ დროს ე.წ. </w:t>
      </w:r>
      <w:r w:rsidRPr="00424BF3">
        <w:rPr>
          <w:lang w:val="ka-GE"/>
        </w:rPr>
        <w:t>drive-in</w:t>
      </w:r>
      <w:r>
        <w:rPr>
          <w:lang w:val="ka-GE"/>
        </w:rPr>
        <w:t xml:space="preserve"> სადგომზე, მანქანიდან გადმოუსვლელად </w:t>
      </w:r>
      <w:r w:rsidR="000F68E9">
        <w:rPr>
          <w:lang w:val="ka-GE"/>
        </w:rPr>
        <w:t>ჩა</w:t>
      </w:r>
      <w:r>
        <w:rPr>
          <w:lang w:val="ka-GE"/>
        </w:rPr>
        <w:t xml:space="preserve">იტარებს ანალიზს. </w:t>
      </w:r>
      <w:r w:rsidRPr="000F68E9">
        <w:rPr>
          <w:u w:val="single"/>
          <w:lang w:val="ka-GE"/>
        </w:rPr>
        <w:t>ლიტვა</w:t>
      </w:r>
      <w:r>
        <w:rPr>
          <w:lang w:val="ka-GE"/>
        </w:rPr>
        <w:t xml:space="preserve"> ახორციელებს </w:t>
      </w:r>
      <w:r w:rsidRPr="000F68E9">
        <w:rPr>
          <w:b/>
          <w:lang w:val="ka-GE"/>
        </w:rPr>
        <w:t>პჯრ</w:t>
      </w:r>
      <w:r>
        <w:rPr>
          <w:lang w:val="ka-GE"/>
        </w:rPr>
        <w:t xml:space="preserve"> ტესტს ჯამში </w:t>
      </w:r>
      <w:r w:rsidRPr="000F68E9">
        <w:rPr>
          <w:i/>
          <w:lang w:val="ka-GE"/>
        </w:rPr>
        <w:t>8 ლაბორატორიაში,</w:t>
      </w:r>
      <w:r>
        <w:rPr>
          <w:lang w:val="ka-GE"/>
        </w:rPr>
        <w:t xml:space="preserve"> ხოლო </w:t>
      </w:r>
      <w:r w:rsidRPr="000F68E9">
        <w:rPr>
          <w:u w:val="single"/>
          <w:lang w:val="ka-GE"/>
        </w:rPr>
        <w:t>ლატვიაში</w:t>
      </w:r>
      <w:r>
        <w:rPr>
          <w:lang w:val="ka-GE"/>
        </w:rPr>
        <w:t xml:space="preserve"> </w:t>
      </w:r>
      <w:r w:rsidRPr="000F68E9">
        <w:rPr>
          <w:i/>
          <w:lang w:val="ka-GE"/>
        </w:rPr>
        <w:t>6 ლაბორატორიაა</w:t>
      </w:r>
      <w:r>
        <w:rPr>
          <w:lang w:val="ka-GE"/>
        </w:rPr>
        <w:t xml:space="preserve">. ასევე საინტერესოა მათი მიდგომა ტესტირებასთან დაკავშირებით: </w:t>
      </w:r>
      <w:r w:rsidRPr="007A40B8">
        <w:rPr>
          <w:lang w:val="ka-GE"/>
        </w:rPr>
        <w:t xml:space="preserve">რისკის </w:t>
      </w:r>
      <w:r>
        <w:rPr>
          <w:lang w:val="ka-GE"/>
        </w:rPr>
        <w:t>მქონე</w:t>
      </w:r>
      <w:r w:rsidRPr="007A40B8">
        <w:rPr>
          <w:lang w:val="ka-GE"/>
        </w:rPr>
        <w:t xml:space="preserve"> და კოვიდით ინფიციირებულთან კონტაქტის მქონე ადამიანებისთვის </w:t>
      </w:r>
      <w:r w:rsidRPr="000F68E9">
        <w:rPr>
          <w:i/>
          <w:lang w:val="ka-GE"/>
        </w:rPr>
        <w:t xml:space="preserve">ტესტი უფასოა, ხოლო თუ </w:t>
      </w:r>
      <w:r w:rsidRPr="000F68E9">
        <w:rPr>
          <w:i/>
          <w:lang w:val="ka-GE"/>
        </w:rPr>
        <w:lastRenderedPageBreak/>
        <w:t xml:space="preserve">შემთხვევის შესაძლო განსაზღვრებას არ აკმაყოფილებს - ფასიანი (80 ევრო). ამ </w:t>
      </w:r>
      <w:r w:rsidR="000F68E9">
        <w:rPr>
          <w:i/>
          <w:lang w:val="ka-GE"/>
        </w:rPr>
        <w:t>შ</w:t>
      </w:r>
      <w:r w:rsidRPr="000F68E9">
        <w:rPr>
          <w:i/>
          <w:lang w:val="ka-GE"/>
        </w:rPr>
        <w:t>ემთხვევაში თუ ტესტი დადებითი იქნება, თანხა უკან ბრუნ</w:t>
      </w:r>
      <w:r w:rsidR="000F68E9">
        <w:rPr>
          <w:i/>
          <w:lang w:val="ka-GE"/>
        </w:rPr>
        <w:t>დ</w:t>
      </w:r>
      <w:r w:rsidRPr="000F68E9">
        <w:rPr>
          <w:i/>
          <w:lang w:val="ka-GE"/>
        </w:rPr>
        <w:t>ება.</w:t>
      </w:r>
    </w:p>
    <w:p w14:paraId="6BE84D8A" w14:textId="4ABC3D9B" w:rsidR="00E571BA" w:rsidRDefault="00E571BA" w:rsidP="001C16AB">
      <w:pPr>
        <w:pStyle w:val="NoSpacing"/>
        <w:jc w:val="both"/>
        <w:rPr>
          <w:lang w:val="ka-GE"/>
        </w:rPr>
      </w:pPr>
      <w:r w:rsidRPr="00E571BA">
        <w:rPr>
          <w:lang w:val="ka-GE"/>
        </w:rPr>
        <w:t xml:space="preserve">მხოლოდ </w:t>
      </w:r>
      <w:r w:rsidRPr="000F68E9">
        <w:rPr>
          <w:b/>
          <w:lang w:val="ka-GE"/>
        </w:rPr>
        <w:t>პჯრ</w:t>
      </w:r>
      <w:r w:rsidRPr="00E571BA">
        <w:rPr>
          <w:lang w:val="ka-GE"/>
        </w:rPr>
        <w:t xml:space="preserve"> იყენებს </w:t>
      </w:r>
      <w:r w:rsidRPr="000F68E9">
        <w:rPr>
          <w:u w:val="single"/>
          <w:lang w:val="ka-GE"/>
        </w:rPr>
        <w:t>ლუქსემბურგი</w:t>
      </w:r>
      <w:r>
        <w:rPr>
          <w:lang w:val="ka-GE"/>
        </w:rPr>
        <w:t xml:space="preserve">, ხოლო </w:t>
      </w:r>
      <w:r w:rsidRPr="000F68E9">
        <w:rPr>
          <w:u w:val="single"/>
          <w:lang w:val="ka-GE"/>
        </w:rPr>
        <w:t>სინგაპური</w:t>
      </w:r>
      <w:r>
        <w:rPr>
          <w:lang w:val="ka-GE"/>
        </w:rPr>
        <w:t xml:space="preserve"> </w:t>
      </w:r>
      <w:r w:rsidRPr="000F68E9">
        <w:rPr>
          <w:b/>
          <w:lang w:val="ka-GE"/>
        </w:rPr>
        <w:t xml:space="preserve">პჯრ-თან ერთად მოიხმარს ანტიგენზე </w:t>
      </w:r>
      <w:r>
        <w:rPr>
          <w:lang w:val="ka-GE"/>
        </w:rPr>
        <w:t xml:space="preserve">დაფუძნებულ ტესტს. </w:t>
      </w:r>
    </w:p>
    <w:p w14:paraId="3DDB3946" w14:textId="2DCB1A60" w:rsidR="00E571BA" w:rsidRDefault="00E571BA" w:rsidP="001C16AB">
      <w:pPr>
        <w:pStyle w:val="NoSpacing"/>
        <w:jc w:val="both"/>
        <w:rPr>
          <w:lang w:val="ka-GE"/>
        </w:rPr>
      </w:pPr>
      <w:r>
        <w:rPr>
          <w:lang w:val="ka-GE"/>
        </w:rPr>
        <w:t xml:space="preserve">იგივე მიდგომაა </w:t>
      </w:r>
      <w:r w:rsidRPr="000F68E9">
        <w:rPr>
          <w:u w:val="single"/>
          <w:lang w:val="ka-GE"/>
        </w:rPr>
        <w:t>ბრიტანეთში</w:t>
      </w:r>
      <w:r>
        <w:rPr>
          <w:lang w:val="ka-GE"/>
        </w:rPr>
        <w:t xml:space="preserve">, თუმცა შესყიდული აქვთ სწრაფი, </w:t>
      </w:r>
      <w:r w:rsidRPr="000F68E9">
        <w:rPr>
          <w:b/>
          <w:lang w:val="ka-GE"/>
        </w:rPr>
        <w:t>ანტისხეულებზე</w:t>
      </w:r>
      <w:r>
        <w:rPr>
          <w:lang w:val="ka-GE"/>
        </w:rPr>
        <w:t xml:space="preserve"> დაფუძნებული ტესტები და იწყებენ მოხმარებას უახლოეს მომავალში.  იგივე სტრატეგია აქვს </w:t>
      </w:r>
      <w:r w:rsidRPr="000F68E9">
        <w:rPr>
          <w:u w:val="single"/>
          <w:lang w:val="ka-GE"/>
        </w:rPr>
        <w:t>ესპანეთს</w:t>
      </w:r>
      <w:r>
        <w:rPr>
          <w:lang w:val="ka-GE"/>
        </w:rPr>
        <w:t xml:space="preserve">, </w:t>
      </w:r>
      <w:r w:rsidRPr="000F68E9">
        <w:rPr>
          <w:b/>
          <w:lang w:val="ka-GE"/>
        </w:rPr>
        <w:t>პჯრ</w:t>
      </w:r>
      <w:r>
        <w:rPr>
          <w:lang w:val="ka-GE"/>
        </w:rPr>
        <w:t xml:space="preserve"> წამყვან მეთოდ</w:t>
      </w:r>
      <w:r w:rsidR="000F68E9">
        <w:rPr>
          <w:lang w:val="ka-GE"/>
        </w:rPr>
        <w:t>ი</w:t>
      </w:r>
      <w:r>
        <w:rPr>
          <w:lang w:val="ka-GE"/>
        </w:rPr>
        <w:t xml:space="preserve">ა და დამატებით </w:t>
      </w:r>
      <w:r w:rsidRPr="000F68E9">
        <w:rPr>
          <w:b/>
          <w:lang w:val="ka-GE"/>
        </w:rPr>
        <w:t>ანტისხეულები</w:t>
      </w:r>
      <w:r>
        <w:rPr>
          <w:lang w:val="ka-GE"/>
        </w:rPr>
        <w:t>, მაგრამ ახლო წარსულში გახმაურებული უხარისხო ტესტების გამო ეს პროცესი ჯერჯერობით შეფერხებულია.</w:t>
      </w:r>
    </w:p>
    <w:p w14:paraId="5A51A901" w14:textId="63BFAEDD" w:rsidR="00E571BA" w:rsidRDefault="00E571BA" w:rsidP="001C16AB">
      <w:pPr>
        <w:pStyle w:val="NoSpacing"/>
        <w:jc w:val="both"/>
        <w:rPr>
          <w:lang w:val="ka-GE"/>
        </w:rPr>
      </w:pPr>
      <w:r w:rsidRPr="0069390E">
        <w:rPr>
          <w:u w:val="single"/>
          <w:lang w:val="ka-GE"/>
        </w:rPr>
        <w:t>ბაჰრეინი</w:t>
      </w:r>
      <w:r>
        <w:rPr>
          <w:lang w:val="ka-GE"/>
        </w:rPr>
        <w:t xml:space="preserve"> </w:t>
      </w:r>
      <w:r w:rsidRPr="0069390E">
        <w:rPr>
          <w:b/>
          <w:lang w:val="ka-GE"/>
        </w:rPr>
        <w:t>პჯრ</w:t>
      </w:r>
      <w:r>
        <w:rPr>
          <w:lang w:val="ka-GE"/>
        </w:rPr>
        <w:t xml:space="preserve"> ერთად მოიხმარს </w:t>
      </w:r>
      <w:r w:rsidRPr="0069390E">
        <w:rPr>
          <w:b/>
          <w:lang w:val="ka-GE"/>
        </w:rPr>
        <w:t>ანტისხეულების</w:t>
      </w:r>
      <w:r>
        <w:rPr>
          <w:lang w:val="ka-GE"/>
        </w:rPr>
        <w:t xml:space="preserve"> ტესტს, რომელიც მიზნობრივ ჯგუფებთან ერთად (სამედიცინო პერსონალი, პაციენტები კლინიკური სიმპტომებით), უკეთდება </w:t>
      </w:r>
      <w:r w:rsidRPr="0069390E">
        <w:rPr>
          <w:i/>
          <w:lang w:val="ka-GE"/>
        </w:rPr>
        <w:t>მოფუნქიონირე მაღაზიებს, აფთიაქებსა და საცხობის თანამშრომლებს.</w:t>
      </w:r>
      <w:r>
        <w:rPr>
          <w:lang w:val="ka-GE"/>
        </w:rPr>
        <w:t xml:space="preserve"> </w:t>
      </w:r>
    </w:p>
    <w:p w14:paraId="6C2E4A28" w14:textId="4D09B541" w:rsidR="000F68E9" w:rsidRDefault="000F68E9" w:rsidP="001C16AB">
      <w:pPr>
        <w:pStyle w:val="NoSpacing"/>
        <w:jc w:val="both"/>
        <w:rPr>
          <w:lang w:val="ka-GE"/>
        </w:rPr>
      </w:pPr>
      <w:r w:rsidRPr="0069390E">
        <w:rPr>
          <w:u w:val="single"/>
          <w:lang w:val="ka-GE"/>
        </w:rPr>
        <w:t>ახალ ზელანდიაში,</w:t>
      </w:r>
      <w:r>
        <w:rPr>
          <w:lang w:val="ka-GE"/>
        </w:rPr>
        <w:t xml:space="preserve"> სადაც </w:t>
      </w:r>
      <w:r w:rsidRPr="0069390E">
        <w:rPr>
          <w:i/>
          <w:lang w:val="ka-GE"/>
        </w:rPr>
        <w:t>8 ლაბორატორიაა,</w:t>
      </w:r>
      <w:r>
        <w:rPr>
          <w:lang w:val="ka-GE"/>
        </w:rPr>
        <w:t xml:space="preserve"> იწარმოება </w:t>
      </w:r>
      <w:r w:rsidRPr="0069390E">
        <w:rPr>
          <w:b/>
          <w:lang w:val="ka-GE"/>
        </w:rPr>
        <w:t>პჯრ და ანტისხეულების ტესტი.</w:t>
      </w:r>
      <w:r>
        <w:rPr>
          <w:lang w:val="ka-GE"/>
        </w:rPr>
        <w:t xml:space="preserve"> ნიმუშს იღებენ </w:t>
      </w:r>
      <w:r w:rsidRPr="0069390E">
        <w:rPr>
          <w:i/>
          <w:lang w:val="ka-GE"/>
        </w:rPr>
        <w:t xml:space="preserve">საეჭვო, კონტაქტების მქონე და ყველა იმ ადამიანისგან, რომელსაც აქვს </w:t>
      </w:r>
      <w:r w:rsidRPr="0069390E">
        <w:rPr>
          <w:i/>
          <w:lang w:val="en-US"/>
        </w:rPr>
        <w:t>COVID-19</w:t>
      </w:r>
      <w:r w:rsidRPr="0069390E">
        <w:rPr>
          <w:i/>
          <w:lang w:val="ka-GE"/>
        </w:rPr>
        <w:t xml:space="preserve"> დამახასიათებელი სიმპტომი (ცხელება, ხველა).</w:t>
      </w:r>
    </w:p>
    <w:p w14:paraId="32945354" w14:textId="087B5DED" w:rsidR="00E571BA" w:rsidRDefault="00E571BA" w:rsidP="001C16AB">
      <w:pPr>
        <w:pStyle w:val="NoSpacing"/>
        <w:jc w:val="both"/>
        <w:rPr>
          <w:lang w:val="ka-GE"/>
        </w:rPr>
      </w:pPr>
      <w:r>
        <w:rPr>
          <w:lang w:val="ka-GE"/>
        </w:rPr>
        <w:t xml:space="preserve">ჩვენს ახლო სამეზობლოდან, </w:t>
      </w:r>
      <w:r w:rsidRPr="0069390E">
        <w:rPr>
          <w:u w:val="single"/>
          <w:lang w:val="ka-GE"/>
        </w:rPr>
        <w:t xml:space="preserve">სომხეთი </w:t>
      </w:r>
      <w:r>
        <w:rPr>
          <w:lang w:val="ka-GE"/>
        </w:rPr>
        <w:t xml:space="preserve">ოფიციალური წყაროების საშუალებით აცხადებს, რომ აქვს დღეში 500 </w:t>
      </w:r>
      <w:r w:rsidRPr="0069390E">
        <w:rPr>
          <w:b/>
          <w:lang w:val="ka-GE"/>
        </w:rPr>
        <w:t>პჯრ ტესტის</w:t>
      </w:r>
      <w:r>
        <w:rPr>
          <w:lang w:val="ka-GE"/>
        </w:rPr>
        <w:t xml:space="preserve"> ჩატარების საშუალება, და უახლოეს მომავალში </w:t>
      </w:r>
      <w:r w:rsidRPr="0069390E">
        <w:rPr>
          <w:b/>
          <w:lang w:val="ka-GE"/>
        </w:rPr>
        <w:t xml:space="preserve">ანტიგენზე </w:t>
      </w:r>
      <w:r>
        <w:rPr>
          <w:lang w:val="ka-GE"/>
        </w:rPr>
        <w:t xml:space="preserve">დაფუძნებულ ტესტთან ერთად დაგეგმილია დღეში </w:t>
      </w:r>
      <w:r w:rsidRPr="0069390E">
        <w:rPr>
          <w:i/>
          <w:lang w:val="ka-GE"/>
        </w:rPr>
        <w:t>1 500 ტესტამდე ასვლა.</w:t>
      </w:r>
    </w:p>
    <w:p w14:paraId="4BB8C4DD" w14:textId="55146ADE" w:rsidR="001C16AB" w:rsidRDefault="00E571BA" w:rsidP="001C16AB">
      <w:pPr>
        <w:pStyle w:val="NoSpacing"/>
        <w:jc w:val="both"/>
        <w:rPr>
          <w:lang w:val="ka-GE"/>
        </w:rPr>
      </w:pPr>
      <w:r w:rsidRPr="0069390E">
        <w:rPr>
          <w:u w:val="single"/>
          <w:lang w:val="ka-GE"/>
        </w:rPr>
        <w:t xml:space="preserve">თურქეთი </w:t>
      </w:r>
      <w:r w:rsidRPr="0069390E">
        <w:rPr>
          <w:i/>
          <w:lang w:val="ka-GE"/>
        </w:rPr>
        <w:t>უფასოდ ატარებს ტესტირებას როგორც სახელმწიფო, ასევე კერძო სექტორში. ჯამში ქვეყანაში არის 73 ლაბორატორია.</w:t>
      </w:r>
      <w:r>
        <w:rPr>
          <w:lang w:val="ka-GE"/>
        </w:rPr>
        <w:t xml:space="preserve"> ტესტი ადგილზე იწარმოება. წამყვანი მეთოდია </w:t>
      </w:r>
      <w:r w:rsidRPr="0069390E">
        <w:rPr>
          <w:b/>
          <w:lang w:val="ka-GE"/>
        </w:rPr>
        <w:t>პჯრ,</w:t>
      </w:r>
      <w:r>
        <w:rPr>
          <w:lang w:val="ka-GE"/>
        </w:rPr>
        <w:t xml:space="preserve"> დამატებით ახორციელებენ </w:t>
      </w:r>
      <w:r w:rsidRPr="0069390E">
        <w:rPr>
          <w:b/>
          <w:lang w:val="ka-GE"/>
        </w:rPr>
        <w:t>ანტისხეულებზე</w:t>
      </w:r>
      <w:r>
        <w:rPr>
          <w:lang w:val="ka-GE"/>
        </w:rPr>
        <w:t xml:space="preserve"> დაფუძნებულ ტესტი</w:t>
      </w:r>
      <w:r w:rsidR="0069390E">
        <w:rPr>
          <w:lang w:val="ka-GE"/>
        </w:rPr>
        <w:t>თ</w:t>
      </w:r>
      <w:r>
        <w:rPr>
          <w:lang w:val="ka-GE"/>
        </w:rPr>
        <w:t xml:space="preserve"> დიაგნოსტიკას (სამედიცინო </w:t>
      </w:r>
      <w:r w:rsidR="0069390E">
        <w:rPr>
          <w:lang w:val="ka-GE"/>
        </w:rPr>
        <w:t>პერსონალი,</w:t>
      </w:r>
      <w:r>
        <w:rPr>
          <w:lang w:val="ka-GE"/>
        </w:rPr>
        <w:t xml:space="preserve"> კლინიკური სიმპტომების მქონე ყველა პაციენტი გამოვლენიდან მე-7 და მე-14 დღეს)</w:t>
      </w:r>
      <w:r w:rsidR="000F68E9">
        <w:rPr>
          <w:lang w:val="ka-GE"/>
        </w:rPr>
        <w:t>.</w:t>
      </w:r>
    </w:p>
    <w:p w14:paraId="0A652768" w14:textId="77777777" w:rsidR="001C16AB" w:rsidRPr="00787FBB" w:rsidRDefault="001C16AB" w:rsidP="001C16AB">
      <w:pPr>
        <w:pStyle w:val="NoSpacing"/>
        <w:jc w:val="both"/>
        <w:rPr>
          <w:lang w:val="ka-GE"/>
        </w:rPr>
      </w:pPr>
    </w:p>
    <w:sectPr w:rsidR="001C16AB" w:rsidRPr="00787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2A3AA" w14:textId="77777777" w:rsidR="00546684" w:rsidRDefault="00546684" w:rsidP="00125E1E">
      <w:pPr>
        <w:spacing w:after="0" w:line="240" w:lineRule="auto"/>
      </w:pPr>
      <w:r>
        <w:separator/>
      </w:r>
    </w:p>
  </w:endnote>
  <w:endnote w:type="continuationSeparator" w:id="0">
    <w:p w14:paraId="4F50A0FF" w14:textId="77777777" w:rsidR="00546684" w:rsidRDefault="00546684" w:rsidP="0012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39EC6" w14:textId="77777777" w:rsidR="00546684" w:rsidRDefault="00546684" w:rsidP="00125E1E">
      <w:pPr>
        <w:spacing w:after="0" w:line="240" w:lineRule="auto"/>
      </w:pPr>
      <w:r>
        <w:separator/>
      </w:r>
    </w:p>
  </w:footnote>
  <w:footnote w:type="continuationSeparator" w:id="0">
    <w:p w14:paraId="3D793187" w14:textId="77777777" w:rsidR="00546684" w:rsidRDefault="00546684" w:rsidP="00125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6234F"/>
    <w:multiLevelType w:val="hybridMultilevel"/>
    <w:tmpl w:val="C01C6FA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512D53"/>
    <w:multiLevelType w:val="hybridMultilevel"/>
    <w:tmpl w:val="FB0A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676C4"/>
    <w:multiLevelType w:val="hybridMultilevel"/>
    <w:tmpl w:val="2FE02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B53F8"/>
    <w:multiLevelType w:val="hybridMultilevel"/>
    <w:tmpl w:val="52AA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C6926"/>
    <w:multiLevelType w:val="hybridMultilevel"/>
    <w:tmpl w:val="A0D6AC14"/>
    <w:lvl w:ilvl="0" w:tplc="BE740798">
      <w:start w:val="8"/>
      <w:numFmt w:val="decimal"/>
      <w:lvlText w:val="%1"/>
      <w:lvlJc w:val="left"/>
      <w:pPr>
        <w:ind w:left="72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1" w:hanging="360"/>
      </w:pPr>
    </w:lvl>
    <w:lvl w:ilvl="2" w:tplc="0414001B" w:tentative="1">
      <w:start w:val="1"/>
      <w:numFmt w:val="lowerRoman"/>
      <w:lvlText w:val="%3."/>
      <w:lvlJc w:val="right"/>
      <w:pPr>
        <w:ind w:left="2161" w:hanging="180"/>
      </w:pPr>
    </w:lvl>
    <w:lvl w:ilvl="3" w:tplc="0414000F" w:tentative="1">
      <w:start w:val="1"/>
      <w:numFmt w:val="decimal"/>
      <w:lvlText w:val="%4."/>
      <w:lvlJc w:val="left"/>
      <w:pPr>
        <w:ind w:left="2881" w:hanging="360"/>
      </w:pPr>
    </w:lvl>
    <w:lvl w:ilvl="4" w:tplc="04140019" w:tentative="1">
      <w:start w:val="1"/>
      <w:numFmt w:val="lowerLetter"/>
      <w:lvlText w:val="%5."/>
      <w:lvlJc w:val="left"/>
      <w:pPr>
        <w:ind w:left="3601" w:hanging="360"/>
      </w:pPr>
    </w:lvl>
    <w:lvl w:ilvl="5" w:tplc="0414001B" w:tentative="1">
      <w:start w:val="1"/>
      <w:numFmt w:val="lowerRoman"/>
      <w:lvlText w:val="%6."/>
      <w:lvlJc w:val="right"/>
      <w:pPr>
        <w:ind w:left="4321" w:hanging="180"/>
      </w:pPr>
    </w:lvl>
    <w:lvl w:ilvl="6" w:tplc="0414000F" w:tentative="1">
      <w:start w:val="1"/>
      <w:numFmt w:val="decimal"/>
      <w:lvlText w:val="%7."/>
      <w:lvlJc w:val="left"/>
      <w:pPr>
        <w:ind w:left="5041" w:hanging="360"/>
      </w:pPr>
    </w:lvl>
    <w:lvl w:ilvl="7" w:tplc="04140019" w:tentative="1">
      <w:start w:val="1"/>
      <w:numFmt w:val="lowerLetter"/>
      <w:lvlText w:val="%8."/>
      <w:lvlJc w:val="left"/>
      <w:pPr>
        <w:ind w:left="5761" w:hanging="360"/>
      </w:pPr>
    </w:lvl>
    <w:lvl w:ilvl="8" w:tplc="0414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5F6F70BD"/>
    <w:multiLevelType w:val="hybridMultilevel"/>
    <w:tmpl w:val="48C4DAF2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A4161"/>
    <w:multiLevelType w:val="hybridMultilevel"/>
    <w:tmpl w:val="AFB646A6"/>
    <w:lvl w:ilvl="0" w:tplc="1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6AA45583"/>
    <w:multiLevelType w:val="hybridMultilevel"/>
    <w:tmpl w:val="9AD45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218D3"/>
    <w:multiLevelType w:val="singleLevel"/>
    <w:tmpl w:val="B224B1E2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2E"/>
    <w:rsid w:val="00000BB4"/>
    <w:rsid w:val="00005C27"/>
    <w:rsid w:val="000708CE"/>
    <w:rsid w:val="000728E3"/>
    <w:rsid w:val="00076503"/>
    <w:rsid w:val="000F68E9"/>
    <w:rsid w:val="00125E1E"/>
    <w:rsid w:val="0019068B"/>
    <w:rsid w:val="001A14BC"/>
    <w:rsid w:val="001C16AB"/>
    <w:rsid w:val="00206A93"/>
    <w:rsid w:val="0026403C"/>
    <w:rsid w:val="00295D2E"/>
    <w:rsid w:val="0034653B"/>
    <w:rsid w:val="003C71D5"/>
    <w:rsid w:val="00424BF3"/>
    <w:rsid w:val="00437485"/>
    <w:rsid w:val="004806F7"/>
    <w:rsid w:val="004B0BF5"/>
    <w:rsid w:val="00546684"/>
    <w:rsid w:val="005A73A6"/>
    <w:rsid w:val="00634813"/>
    <w:rsid w:val="00665852"/>
    <w:rsid w:val="0069390E"/>
    <w:rsid w:val="006D4B8F"/>
    <w:rsid w:val="006F4DFE"/>
    <w:rsid w:val="00787C8B"/>
    <w:rsid w:val="00787FBB"/>
    <w:rsid w:val="007A40B8"/>
    <w:rsid w:val="007F3EB0"/>
    <w:rsid w:val="00844726"/>
    <w:rsid w:val="00853B2B"/>
    <w:rsid w:val="00866099"/>
    <w:rsid w:val="008801D9"/>
    <w:rsid w:val="009C35D1"/>
    <w:rsid w:val="00AB09C7"/>
    <w:rsid w:val="00B60F13"/>
    <w:rsid w:val="00BC6225"/>
    <w:rsid w:val="00BF1317"/>
    <w:rsid w:val="00BF4BBF"/>
    <w:rsid w:val="00D52184"/>
    <w:rsid w:val="00D60127"/>
    <w:rsid w:val="00DC534F"/>
    <w:rsid w:val="00E523EC"/>
    <w:rsid w:val="00E545EE"/>
    <w:rsid w:val="00E571BA"/>
    <w:rsid w:val="00E75F79"/>
    <w:rsid w:val="00E90B9F"/>
    <w:rsid w:val="00FC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8A524"/>
  <w15:chartTrackingRefBased/>
  <w15:docId w15:val="{1E499D57-F301-47F1-B044-ACCAB352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65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1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D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link">
    <w:name w:val="Hyperlink"/>
    <w:basedOn w:val="DefaultParagraphFont"/>
    <w:uiPriority w:val="99"/>
    <w:unhideWhenUsed/>
    <w:rsid w:val="00295D2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76503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NoSpacing">
    <w:name w:val="No Spacing"/>
    <w:uiPriority w:val="1"/>
    <w:qFormat/>
    <w:rsid w:val="00076503"/>
    <w:pPr>
      <w:spacing w:after="0" w:line="240" w:lineRule="auto"/>
    </w:pPr>
  </w:style>
  <w:style w:type="character" w:customStyle="1" w:styleId="opennewstext">
    <w:name w:val="opennewstext"/>
    <w:basedOn w:val="DefaultParagraphFont"/>
    <w:rsid w:val="00866099"/>
  </w:style>
  <w:style w:type="character" w:customStyle="1" w:styleId="Heading2Char">
    <w:name w:val="Heading 2 Char"/>
    <w:basedOn w:val="DefaultParagraphFont"/>
    <w:link w:val="Heading2"/>
    <w:uiPriority w:val="9"/>
    <w:semiHidden/>
    <w:rsid w:val="008801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8801D9"/>
    <w:rPr>
      <w:b/>
      <w:bCs/>
    </w:rPr>
  </w:style>
  <w:style w:type="paragraph" w:customStyle="1" w:styleId="Bullet">
    <w:name w:val="Bullet"/>
    <w:basedOn w:val="Normal"/>
    <w:qFormat/>
    <w:rsid w:val="00787C8B"/>
    <w:pPr>
      <w:numPr>
        <w:numId w:val="2"/>
      </w:numPr>
      <w:spacing w:before="90" w:after="0" w:line="240" w:lineRule="auto"/>
    </w:pPr>
    <w:rPr>
      <w:rFonts w:ascii="Segoe UI" w:eastAsia="Times New Roman" w:hAnsi="Segoe UI" w:cs="Times New Roman"/>
      <w:sz w:val="21"/>
      <w:szCs w:val="20"/>
      <w:lang w:val="en-NZ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21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21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21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11A56368AE14A9B517B81E8925F8F" ma:contentTypeVersion="10" ma:contentTypeDescription="Create a new document." ma:contentTypeScope="" ma:versionID="d958b33ff70b739370829d6553b7c9c1">
  <xsd:schema xmlns:xsd="http://www.w3.org/2001/XMLSchema" xmlns:xs="http://www.w3.org/2001/XMLSchema" xmlns:p="http://schemas.microsoft.com/office/2006/metadata/properties" xmlns:ns3="15562013-b821-4daa-a63d-48c72bf3491a" targetNamespace="http://schemas.microsoft.com/office/2006/metadata/properties" ma:root="true" ma:fieldsID="74bf7439464435052425e74e3e372af2" ns3:_="">
    <xsd:import namespace="15562013-b821-4daa-a63d-48c72bf34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62013-b821-4daa-a63d-48c72bf34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2C72E-C93F-4ED1-88C5-EAF518EB1F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1F3F66-B8DE-44D7-B8E9-23612AF0B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E7C88-CA1C-4516-8A4C-91A39C8AC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62013-b821-4daa-a63d-48c72bf34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F3CAE3-B4B8-4DC1-8CFC-840DCC77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Manjavidze</dc:creator>
  <cp:keywords/>
  <dc:description/>
  <cp:lastModifiedBy>Natia Skhvitaridze</cp:lastModifiedBy>
  <cp:revision>2</cp:revision>
  <dcterms:created xsi:type="dcterms:W3CDTF">2020-04-07T15:13:00Z</dcterms:created>
  <dcterms:modified xsi:type="dcterms:W3CDTF">2020-04-07T15:13:00Z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0x010100A2411A56368AE14A9B517B81E8925F8F</vt:lpwstr>
  </property>
</Properties>
</file>